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</w:t>
      </w:r>
      <w:r>
        <w:rPr>
          <w:rFonts w:eastAsia="PT Astra Serif" w:cs="PT Astra Serif" w:ascii="PT Astra Serif" w:hAnsi="PT Astra Serif"/>
          <w:bCs/>
          <w:color w:val="00000A"/>
          <w:sz w:val="28"/>
          <w:szCs w:val="28"/>
        </w:rPr>
        <w:t>в порядке самовыдвижения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 по многомандатному избирательному округ</w:t>
      </w:r>
      <w:r>
        <w:rPr>
          <w:rFonts w:eastAsia="PT Astra Serif" w:cs="PT Astra Serif" w:ascii="PT Astra Serif" w:hAnsi="PT Astra Serif"/>
          <w:bCs/>
          <w:sz w:val="28"/>
          <w:szCs w:val="28"/>
        </w:rPr>
        <w:t>у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Верхний колонтитул"/>
    <w:basedOn w:val="Normal"/>
    <w:link w:val="HeaderChar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0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2026-07-02T10:07:00Z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